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Cahier des charges IA</w:t>
      </w:r>
    </w:p>
    <w:p>
      <w:r>
        <w:t>Définissez le travail avant de demander un devis de pilote. Remplacez les consignes ; gardez les inconnues visibles. Ce modèle prépare le cadrage, sans constituer un contrat.</w:t>
      </w:r>
    </w:p>
    <w:p>
      <w:r>
        <w:t>Projet / version / date / responsable : [à compléter]</w:t>
      </w:r>
    </w:p>
    <w:p>
      <w:pPr>
        <w:pStyle w:val="Heading2"/>
      </w:pPr>
      <w:r>
        <w:t>Résultat attendu</w:t>
      </w:r>
    </w:p>
    <w:p>
      <w:r>
        <w:t>Décrivez entrée, sortie et utilisateur. Joignez un exemple autorisé et la réponse attendue.</w:t>
      </w:r>
    </w:p>
    <w:p>
      <w:r>
        <w:t>[À compléter ici]</w:t>
      </w:r>
    </w:p>
    <w:p>
      <w:pPr>
        <w:pStyle w:val="Heading2"/>
      </w:pPr>
      <w:r>
        <w:t>Périmètre et exclusions</w:t>
      </w:r>
    </w:p>
    <w:p>
      <w:r>
        <w:t>Nommez les actions permises, les interdictions et l’accord nécessaire avant écriture.</w:t>
      </w:r>
    </w:p>
    <w:p>
      <w:r>
        <w:t>[À compléter ici]</w:t>
      </w:r>
    </w:p>
    <w:p>
      <w:pPr>
        <w:pStyle w:val="Heading2"/>
      </w:pPr>
      <w:r>
        <w:t>Données et droits</w:t>
      </w:r>
    </w:p>
    <w:p>
      <w:r>
        <w:t>Sources, propriétaire, droits, traitement et hébergement proposés, conservation à convenir.</w:t>
      </w:r>
    </w:p>
    <w:p>
      <w:r>
        <w:t>[À compléter ici]</w:t>
      </w:r>
    </w:p>
    <w:p>
      <w:pPr>
        <w:pStyle w:val="Heading2"/>
      </w:pPr>
      <w:r>
        <w:t>Volumes et questions ouvertes</w:t>
      </w:r>
    </w:p>
    <w:p>
      <w:r>
        <w:t>Sourcez chaque chiffre ou marquez-le comme hypothèse. Donnez un responsable et une échéance à chaque inconnue.</w:t>
      </w:r>
    </w:p>
    <w:p>
      <w:r>
        <w:t>[À compléter ici]</w:t>
      </w:r>
    </w:p>
    <w:p>
      <w:r>
        <w:br w:type="page"/>
      </w:r>
    </w:p>
    <w:p>
      <w:pPr>
        <w:pStyle w:val="Title"/>
      </w:pPr>
      <w:r>
        <w:t>Réception et exploitation</w:t>
      </w:r>
    </w:p>
    <w:p>
      <w:r>
        <w:t>Complétez les attendus avant les essais. Laissez les observations vides jusqu’à leur exécution. Une preuve absente signifie non vérifié.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69"/>
        <w:gridCol w:w="3969"/>
      </w:tblGrid>
      <w:tr>
        <w:trPr>
          <w:cantSplit/>
        </w:trPr>
        <w:tc>
          <w:tcPr>
            <w:tcW w:type="dxa" w:w="5669"/>
            <w:tcMar>
              <w:top w:w="100" w:type="dxa"/>
              <w:left w:w="100" w:type="dxa"/>
              <w:bottom w:w="100" w:type="dxa"/>
              <w:right w:w="100" w:type="dxa"/>
            </w:tcMar>
            <w:shd w:fill="EEEEEE"/>
          </w:tcPr>
          <w:p>
            <w:pPr>
              <w:spacing w:after="100"/>
            </w:pPr>
            <w:r>
              <w:rPr>
                <w:b/>
                <w:sz w:val="20"/>
              </w:rPr>
              <w:t>Cas et résultat attendu</w:t>
            </w:r>
          </w:p>
        </w:tc>
        <w:tc>
          <w:tcPr>
            <w:tcW w:type="dxa" w:w="3969"/>
            <w:tcMar>
              <w:top w:w="100" w:type="dxa"/>
              <w:left w:w="100" w:type="dxa"/>
              <w:bottom w:w="100" w:type="dxa"/>
              <w:right w:w="100" w:type="dxa"/>
            </w:tcMar>
            <w:shd w:fill="EEEEEE"/>
          </w:tcPr>
          <w:p>
            <w:pPr>
              <w:spacing w:after="100"/>
            </w:pPr>
            <w:r>
              <w:rPr>
                <w:b/>
                <w:sz w:val="20"/>
              </w:rPr>
              <w:t>Observé et preuve</w:t>
            </w:r>
          </w:p>
        </w:tc>
      </w:tr>
      <w:tr>
        <w:trPr>
          <w:cantSplit/>
        </w:trPr>
        <w:tc>
          <w:tcPr>
            <w:tcW w:type="dxa" w:w="56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T01 / R01 Champs et sources corrects ; aucune promesse inventée</w:t>
            </w:r>
          </w:p>
        </w:tc>
        <w:tc>
          <w:tcPr>
            <w:tcW w:type="dxa" w:w="39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[Après essai]</w:t>
            </w:r>
          </w:p>
        </w:tc>
      </w:tr>
      <w:tr>
        <w:trPr>
          <w:cantSplit/>
        </w:trPr>
        <w:tc>
          <w:tcPr>
            <w:tcW w:type="dxa" w:w="56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T02 / R03 Deux clients possibles : aucun identifiant choisi</w:t>
            </w:r>
          </w:p>
        </w:tc>
        <w:tc>
          <w:tcPr>
            <w:tcW w:type="dxa" w:w="39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[Après essai]</w:t>
            </w:r>
          </w:p>
        </w:tc>
      </w:tr>
      <w:tr>
        <w:trPr>
          <w:cantSplit/>
        </w:trPr>
        <w:tc>
          <w:tcPr>
            <w:tcW w:type="dxa" w:w="56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T03 / R02 Date absente : champ inconnu, pas une date déduite</w:t>
            </w:r>
          </w:p>
        </w:tc>
        <w:tc>
          <w:tcPr>
            <w:tcW w:type="dxa" w:w="39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[Après essai]</w:t>
            </w:r>
          </w:p>
        </w:tc>
      </w:tr>
      <w:tr>
        <w:trPr>
          <w:cantSplit/>
        </w:trPr>
        <w:tc>
          <w:tcPr>
            <w:tcW w:type="dxa" w:w="56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T04 / R04 Accord absent ou périmé : aucune création</w:t>
            </w:r>
          </w:p>
        </w:tc>
        <w:tc>
          <w:tcPr>
            <w:tcW w:type="dxa" w:w="39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[Après essai]</w:t>
            </w:r>
          </w:p>
        </w:tc>
      </w:tr>
      <w:tr>
        <w:trPr>
          <w:cantSplit/>
        </w:trPr>
        <w:tc>
          <w:tcPr>
            <w:tcW w:type="dxa" w:w="56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T05 / R05 Message rejoué ou réponse perdue : une seule fiche</w:t>
            </w:r>
          </w:p>
        </w:tc>
        <w:tc>
          <w:tcPr>
            <w:tcW w:type="dxa" w:w="39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[Après essai]</w:t>
            </w:r>
          </w:p>
        </w:tc>
      </w:tr>
      <w:tr>
        <w:trPr>
          <w:cantSplit/>
        </w:trPr>
        <w:tc>
          <w:tcPr>
            <w:tcW w:type="dxa" w:w="56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T06 / R06 Source interdite absente de la récupération et du contexte</w:t>
            </w:r>
          </w:p>
        </w:tc>
        <w:tc>
          <w:tcPr>
            <w:tcW w:type="dxa" w:w="39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[Après essai]</w:t>
            </w:r>
          </w:p>
        </w:tc>
      </w:tr>
      <w:tr>
        <w:trPr>
          <w:cantSplit/>
        </w:trPr>
        <w:tc>
          <w:tcPr>
            <w:tcW w:type="dxa" w:w="56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T07 / R07 Export convenu ouvrable et relisible hors du service</w:t>
            </w:r>
          </w:p>
        </w:tc>
        <w:tc>
          <w:tcPr>
            <w:tcW w:type="dxa" w:w="39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[Après essai]</w:t>
            </w:r>
          </w:p>
        </w:tc>
      </w:tr>
    </w:tbl>
    <w:p>
      <w:pPr>
        <w:pStyle w:val="Heading2"/>
      </w:pPr>
      <w:r>
        <w:t>Critères bloquants et décideur</w:t>
      </w:r>
    </w:p>
    <w:p>
      <w:r>
        <w:t>Nommez qui accepte un écart. Un score global ne compense pas une écriture non autorisée.</w:t>
      </w:r>
    </w:p>
    <w:p>
      <w:r>
        <w:t>[À compléter ici]</w:t>
      </w:r>
    </w:p>
    <w:p>
      <w:pPr>
        <w:pStyle w:val="Heading2"/>
      </w:pPr>
      <w:r>
        <w:t>Absence panne et transmission</w:t>
      </w:r>
    </w:p>
    <w:p>
      <w:r>
        <w:t>Responsable, remplaçant, plages de fonctionnement, preuve de reprise et formats d’export.</w:t>
      </w:r>
    </w:p>
    <w:p>
      <w:r>
        <w:t>[À compléter ici]</w:t>
      </w:r>
    </w:p>
    <w:p>
      <w:r>
        <w:br w:type="page"/>
      </w:r>
    </w:p>
    <w:p>
      <w:pPr>
        <w:pStyle w:val="Title"/>
      </w:pPr>
      <w:r>
        <w:t>Réponse du prestataire et décision</w:t>
      </w:r>
    </w:p>
    <w:p>
      <w:r>
        <w:t>Envoyez la même version à chaque prestataire. Demandez inclus, exclu ou non précisé, avec une référence datée. Inconnu ne signifie pas zéro.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2268"/>
        <w:gridCol w:w="2268"/>
      </w:tblGrid>
      <w:tr>
        <w:trPr>
          <w:cantSplit/>
        </w:trPr>
        <w:tc>
          <w:tcPr>
            <w:tcW w:type="dxa" w:w="5102"/>
            <w:tcMar>
              <w:top w:w="100" w:type="dxa"/>
              <w:left w:w="100" w:type="dxa"/>
              <w:bottom w:w="100" w:type="dxa"/>
              <w:right w:w="100" w:type="dxa"/>
            </w:tcMar>
            <w:shd w:fill="EEEEEE"/>
          </w:tcPr>
          <w:p>
            <w:pPr>
              <w:spacing w:after="100"/>
            </w:pPr>
            <w:r>
              <w:rPr>
                <w:b/>
                <w:sz w:val="20"/>
              </w:rPr>
              <w:t>Poste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  <w:shd w:fill="EEEEEE"/>
          </w:tcPr>
          <w:p>
            <w:pPr>
              <w:spacing w:after="100"/>
            </w:pPr>
            <w:r>
              <w:rPr>
                <w:b/>
                <w:sz w:val="20"/>
              </w:rPr>
              <w:t>Offre A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  <w:shd w:fill="EEEEEE"/>
          </w:tcPr>
          <w:p>
            <w:pPr>
              <w:spacing w:after="100"/>
            </w:pPr>
            <w:r>
              <w:rPr>
                <w:b/>
                <w:sz w:val="20"/>
              </w:rPr>
              <w:t>Offre B</w:t>
            </w:r>
          </w:p>
        </w:tc>
      </w:tr>
      <w:tr>
        <w:trPr>
          <w:cantSplit/>
        </w:trPr>
        <w:tc>
          <w:tcPr>
            <w:tcW w:type="dxa" w:w="510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Conformité au besoin et preuve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510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Cadrage et installation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510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Récurrent et période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510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Consommation et dépassements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510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Temps interne et formation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510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Maintenance et sortie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</w:tr>
    </w:tbl>
    <w:p>
      <w:pPr>
        <w:pStyle w:val="Heading2"/>
      </w:pPr>
      <w:r>
        <w:t>Base commune de comparaison</w:t>
      </w:r>
    </w:p>
    <w:p>
      <w:r>
        <w:t>Période, volume, devise et base HT/TTC, sous-total connu et coûts encore inconnus.</w:t>
      </w:r>
    </w:p>
    <w:p>
      <w:r>
        <w:t>[À compléter ici]</w:t>
      </w:r>
    </w:p>
    <w:p>
      <w:pPr>
        <w:pStyle w:val="Heading2"/>
      </w:pPr>
      <w:r>
        <w:t>Prochaine décision</w:t>
      </w:r>
    </w:p>
    <w:p>
      <w:r>
        <w:t>Demander une précision / pilote / corriger et retester / arrêter. Motif, décideur et preuves encore nécessaires.</w:t>
      </w:r>
    </w:p>
    <w:p>
      <w:r>
        <w:t>[À compléter ici]</w:t>
      </w:r>
    </w:p>
    <w:p>
      <w:r>
        <w:t>Remplir ce document ne vaut pas autorisation de mise en service. Conservez la version convenue et ses annexes.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Initial IA  |  05/10/2026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INITIAL IA  /  DOCUMENT DE TRAVAIL MODIFIABLE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IA</dc:title>
  <dc:subject/>
  <dc:creator>Initial 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